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D26" w:rsidRDefault="00615175">
      <w:pPr>
        <w:pStyle w:val="Tytu"/>
      </w:pPr>
      <w:r>
        <w:t>Procedura ogólna postępowania w sytuacjach zagrożenia bezpieczeństwa</w:t>
      </w:r>
    </w:p>
    <w:p w:rsidR="00742D26" w:rsidRDefault="00615175">
      <w:r>
        <w:t>P03 • Uniwersytet Jana Długosza w Częstochowie</w:t>
      </w:r>
    </w:p>
    <w:p w:rsidR="00742D26" w:rsidRDefault="00615175">
      <w:r>
        <w:t xml:space="preserve">Procedura ustala wspólne zasady ochrony ludzi, koordynacji, alarmowania i dokumentowania w UJD. Dotyczy pracowników, studentów, </w:t>
      </w:r>
      <w:r>
        <w:t>doktorantów, gości, ochrony, portierni i administratorów oraz zdarzeń w otoczeniu wpływających na bezpieczeństwo uczelni. Stosuje się ją z instrukcją właściwą dla zagrożenia oraz lokalną dokumentacją obiektu.</w:t>
      </w:r>
    </w:p>
    <w:p w:rsidR="00742D26" w:rsidRDefault="00615175">
      <w:pPr>
        <w:pStyle w:val="Nagwek1"/>
      </w:pPr>
      <w:r>
        <w:t>Zasada pierwszej reakcji</w:t>
      </w:r>
    </w:p>
    <w:p w:rsidR="00742D26" w:rsidRDefault="00615175">
      <w:r>
        <w:t>Ostrzeganie zagrożonyc</w:t>
      </w:r>
      <w:r>
        <w:t xml:space="preserve">h, wezwanie pomocy i opuszczenie strefy bezpośredniego zagrożenia nie czekają na podpis, formularz ani przybycie przełożonego. Gdy zagrożone jest życie lub zdrowie, z bezpiecznego miejsca dzwoń pod 112; przy nagłym zdarzeniu medycznym także 999. Działaj w </w:t>
      </w:r>
      <w:r>
        <w:t>granicach bezpieczeństwa i umiejętności.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7143"/>
      </w:tblGrid>
      <w:tr w:rsidR="00742D26">
        <w:trPr>
          <w:cantSplit/>
          <w:tblHeader/>
        </w:trPr>
        <w:tc>
          <w:tcPr>
            <w:tcW w:w="2835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20"/>
              </w:rPr>
              <w:t>Zagrożenie</w:t>
            </w:r>
          </w:p>
        </w:tc>
        <w:tc>
          <w:tcPr>
            <w:tcW w:w="7143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20"/>
              </w:rPr>
              <w:t>Instrukcja i kierunek działania</w:t>
            </w:r>
          </w:p>
        </w:tc>
      </w:tr>
      <w:tr w:rsidR="00742D26">
        <w:trPr>
          <w:cantSplit/>
        </w:trPr>
        <w:tc>
          <w:tcPr>
            <w:tcW w:w="2835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Pożar lub alarm pożarowy</w:t>
            </w:r>
          </w:p>
        </w:tc>
        <w:tc>
          <w:tcPr>
            <w:tcW w:w="7143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I13 oraz IBP: niezwłoczna ewakuacja objętej alarmem strefy bezpieczną drogą.</w:t>
            </w:r>
          </w:p>
        </w:tc>
      </w:tr>
      <w:tr w:rsidR="00742D26">
        <w:trPr>
          <w:cantSplit/>
        </w:trPr>
        <w:tc>
          <w:tcPr>
            <w:tcW w:w="2835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Napastnik lub agresor</w:t>
            </w:r>
          </w:p>
        </w:tc>
        <w:tc>
          <w:tcPr>
            <w:tcW w:w="7143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I06: bezpieczna ucieczka, a gdy niemożliwa — u</w:t>
            </w:r>
            <w:r>
              <w:rPr>
                <w:sz w:val="20"/>
              </w:rPr>
              <w:t>krycie i powiadomienie Policji.</w:t>
            </w:r>
          </w:p>
        </w:tc>
      </w:tr>
      <w:tr w:rsidR="00742D26">
        <w:trPr>
          <w:cantSplit/>
        </w:trPr>
        <w:tc>
          <w:tcPr>
            <w:tcW w:w="2835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Protest, okupacja lub blokada</w:t>
            </w:r>
          </w:p>
        </w:tc>
        <w:tc>
          <w:tcPr>
            <w:tcW w:w="7143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I07: rozpoznanie rzeczywistego zagrożenia, ochrona dróg i przekazanie sprawy władzom; bez samowolnych działań siłowych.</w:t>
            </w:r>
          </w:p>
        </w:tc>
      </w:tr>
      <w:tr w:rsidR="00742D26">
        <w:trPr>
          <w:cantSplit/>
        </w:trPr>
        <w:tc>
          <w:tcPr>
            <w:tcW w:w="2835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Zagrożenie z powietrza lub dron</w:t>
            </w:r>
          </w:p>
        </w:tc>
        <w:tc>
          <w:tcPr>
            <w:tcW w:w="7143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 xml:space="preserve">I08: ochrona wewnątrz sprawdzonego </w:t>
            </w:r>
            <w:r>
              <w:rPr>
                <w:sz w:val="20"/>
              </w:rPr>
              <w:t>miejsca; sam widok drona nie potwierdza ataku.</w:t>
            </w:r>
          </w:p>
        </w:tc>
      </w:tr>
      <w:tr w:rsidR="00742D26">
        <w:trPr>
          <w:cantSplit/>
        </w:trPr>
        <w:tc>
          <w:tcPr>
            <w:tcW w:w="2835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Nagłe zdarzenie medyczne</w:t>
            </w:r>
          </w:p>
        </w:tc>
        <w:tc>
          <w:tcPr>
            <w:tcW w:w="7143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I09: wezwanie pomocy, pierwsza pomoc, dostęp dla ratowników.</w:t>
            </w:r>
          </w:p>
        </w:tc>
      </w:tr>
      <w:tr w:rsidR="00742D26">
        <w:trPr>
          <w:cantSplit/>
        </w:trPr>
        <w:tc>
          <w:tcPr>
            <w:tcW w:w="2835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Podejrzana przesyłka lub pakunek</w:t>
            </w:r>
          </w:p>
        </w:tc>
        <w:tc>
          <w:tcPr>
            <w:tcW w:w="7143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I10: nie dotykać; bezpiecznie oddalić osoby i powiadomić służby.</w:t>
            </w:r>
          </w:p>
        </w:tc>
      </w:tr>
      <w:tr w:rsidR="00742D26">
        <w:trPr>
          <w:cantSplit/>
        </w:trPr>
        <w:tc>
          <w:tcPr>
            <w:tcW w:w="2835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Groźba ładunku wybucho</w:t>
            </w:r>
            <w:r>
              <w:rPr>
                <w:sz w:val="20"/>
              </w:rPr>
              <w:t>wego</w:t>
            </w:r>
          </w:p>
        </w:tc>
        <w:tc>
          <w:tcPr>
            <w:tcW w:w="7143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I11: pilne zgłoszenie, zachowanie treści, decyzje według Policji i aktualnego zagrożenia.</w:t>
            </w:r>
          </w:p>
        </w:tc>
      </w:tr>
      <w:tr w:rsidR="00742D26">
        <w:trPr>
          <w:cantSplit/>
        </w:trPr>
        <w:tc>
          <w:tcPr>
            <w:tcW w:w="2835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Katastrofa lub uszkodzenie obiektu</w:t>
            </w:r>
          </w:p>
        </w:tc>
        <w:tc>
          <w:tcPr>
            <w:tcW w:w="7143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I12: opuszczenie zagrożonej strefy, zakaz wejścia, ratownicy i ocena techniczna.</w:t>
            </w:r>
          </w:p>
        </w:tc>
      </w:tr>
      <w:tr w:rsidR="00742D26">
        <w:trPr>
          <w:cantSplit/>
        </w:trPr>
        <w:tc>
          <w:tcPr>
            <w:tcW w:w="2835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Skażenie lub toksyczny dym</w:t>
            </w:r>
          </w:p>
        </w:tc>
        <w:tc>
          <w:tcPr>
            <w:tcW w:w="7143" w:type="dxa"/>
          </w:tcPr>
          <w:p w:rsidR="00742D26" w:rsidRDefault="00615175">
            <w:pPr>
              <w:spacing w:before="60" w:after="60"/>
            </w:pPr>
            <w:r>
              <w:rPr>
                <w:sz w:val="20"/>
              </w:rPr>
              <w:t>Źródło wewnątrz:</w:t>
            </w:r>
            <w:r>
              <w:rPr>
                <w:sz w:val="20"/>
              </w:rPr>
              <w:t xml:space="preserve"> oddalenie od źródła. Źródło na zewnątrz: schronienie lub ewakuacja według służb. Z03 i Z04. Nie pozostawać w strefie pożaru lub wycieku wewnętrznego.</w:t>
            </w:r>
          </w:p>
        </w:tc>
      </w:tr>
    </w:tbl>
    <w:p w:rsidR="00742D26" w:rsidRDefault="00615175">
      <w:pPr>
        <w:pStyle w:val="Nagwek1"/>
      </w:pPr>
      <w:r>
        <w:t>Sposób używania pakietu</w:t>
      </w:r>
    </w:p>
    <w:p w:rsidR="00742D26" w:rsidRDefault="00615175">
      <w:r>
        <w:t>P03 oznacza procedurę nadrzędną; I05–I13 instrukcje wykonawcze; Z01–Z06 załączni</w:t>
      </w:r>
      <w:r>
        <w:t>ki wspólne. Numery I05–I12 odpowiadają numerom przekazanych instrukcji. I13 jest instrukcją pożarową</w:t>
      </w:r>
      <w:r w:rsidR="00A0562F">
        <w:t>.</w:t>
      </w:r>
      <w:r>
        <w:t xml:space="preserve"> </w:t>
      </w:r>
      <w:bookmarkStart w:id="0" w:name="_GoBack"/>
      <w:bookmarkEnd w:id="0"/>
      <w:r>
        <w:t>Karty danych obiektów i plany są odrębnymi częściami pakietu.</w:t>
      </w:r>
    </w:p>
    <w:p w:rsidR="00742D26" w:rsidRDefault="00615175">
      <w:r>
        <w:br w:type="page"/>
      </w:r>
    </w:p>
    <w:p w:rsidR="00742D26" w:rsidRDefault="00615175">
      <w:pPr>
        <w:pStyle w:val="Tytu"/>
      </w:pPr>
      <w:r>
        <w:lastRenderedPageBreak/>
        <w:t>Role i d</w:t>
      </w:r>
      <w:r>
        <w:t>ecyzje operacyjne</w:t>
      </w:r>
    </w:p>
    <w:p w:rsidR="00742D26" w:rsidRDefault="00615175">
      <w:r>
        <w:t>P03 • kierowanie wewnętrzne oraz współpraca ze służbami</w:t>
      </w:r>
    </w:p>
    <w:p w:rsidR="00742D26" w:rsidRDefault="00615175">
      <w:pPr>
        <w:pStyle w:val="Nagwek1"/>
      </w:pPr>
      <w:r>
        <w:t>Zadania personelu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438"/>
        <w:gridCol w:w="7540"/>
      </w:tblGrid>
      <w:tr w:rsidR="00742D26">
        <w:trPr>
          <w:cantSplit/>
          <w:tblHeader/>
        </w:trPr>
        <w:tc>
          <w:tcPr>
            <w:tcW w:w="2438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19"/>
              </w:rPr>
              <w:t>Funkcja</w:t>
            </w:r>
          </w:p>
        </w:tc>
        <w:tc>
          <w:tcPr>
            <w:tcW w:w="7540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19"/>
              </w:rPr>
              <w:t>Zadanie</w:t>
            </w:r>
          </w:p>
        </w:tc>
      </w:tr>
      <w:tr w:rsidR="00742D26">
        <w:trPr>
          <w:cantSplit/>
        </w:trPr>
        <w:tc>
          <w:tcPr>
            <w:tcW w:w="2438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Rektor i władze uczelni</w:t>
            </w:r>
          </w:p>
        </w:tc>
        <w:tc>
          <w:tcPr>
            <w:tcW w:w="7540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Decyzje strategiczne, zatwierdzenie dokumentów, komunikacja instytucjonalna i sprawy wymagające właściwości Rektora.</w:t>
            </w:r>
          </w:p>
        </w:tc>
      </w:tr>
      <w:tr w:rsidR="00742D26">
        <w:trPr>
          <w:cantSplit/>
        </w:trPr>
        <w:tc>
          <w:tcPr>
            <w:tcW w:w="2438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Kanclerz i administracja</w:t>
            </w:r>
          </w:p>
        </w:tc>
        <w:tc>
          <w:tcPr>
            <w:tcW w:w="7540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Koordynacja organizacyjna, obiekty, zasoby, współpraca z administratorami.</w:t>
            </w:r>
          </w:p>
        </w:tc>
      </w:tr>
      <w:tr w:rsidR="00742D26">
        <w:trPr>
          <w:cantSplit/>
        </w:trPr>
        <w:tc>
          <w:tcPr>
            <w:tcW w:w="2438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Specjalista ds. obronnych i zarządzania kryzysowego</w:t>
            </w:r>
          </w:p>
        </w:tc>
        <w:tc>
          <w:tcPr>
            <w:tcW w:w="7540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Prowadzenie i aktualizacja pakietu, wsparcie analiz, szkoleń oraz ćwiczeń.</w:t>
            </w:r>
          </w:p>
        </w:tc>
      </w:tr>
      <w:tr w:rsidR="00742D26">
        <w:trPr>
          <w:cantSplit/>
        </w:trPr>
        <w:tc>
          <w:tcPr>
            <w:tcW w:w="2438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Administrator obiektu</w:t>
            </w:r>
          </w:p>
        </w:tc>
        <w:tc>
          <w:tcPr>
            <w:tcW w:w="7540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Aktualna karta, kontakty i zastępstwa, drogi, miejsca zbiórki i ochrony, obsada pomocy, współpraca z ochroną.</w:t>
            </w:r>
          </w:p>
        </w:tc>
      </w:tr>
      <w:tr w:rsidR="00742D26">
        <w:trPr>
          <w:cantSplit/>
        </w:trPr>
        <w:tc>
          <w:tcPr>
            <w:tcW w:w="2438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Portiernia i ochrona</w:t>
            </w:r>
          </w:p>
        </w:tc>
        <w:tc>
          <w:tcPr>
            <w:tcW w:w="7540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Przyjęcie zgłoszenia, pilne powiadomienia, przekaz komunikatów i informacji ratownikom; I05.</w:t>
            </w:r>
          </w:p>
        </w:tc>
      </w:tr>
      <w:tr w:rsidR="00742D26">
        <w:trPr>
          <w:cantSplit/>
        </w:trPr>
        <w:tc>
          <w:tcPr>
            <w:tcW w:w="2438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Kierownik jednostki i dziekan</w:t>
            </w:r>
          </w:p>
        </w:tc>
        <w:tc>
          <w:tcPr>
            <w:tcW w:w="7540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Obieg informacji w jednostce, wsparcie pracowników, przekaz meldunków i wniosków.</w:t>
            </w:r>
          </w:p>
        </w:tc>
      </w:tr>
      <w:tr w:rsidR="00742D26">
        <w:trPr>
          <w:cantSplit/>
        </w:trPr>
        <w:tc>
          <w:tcPr>
            <w:tcW w:w="2438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Prowadzący zajęcia</w:t>
            </w:r>
          </w:p>
        </w:tc>
        <w:tc>
          <w:tcPr>
            <w:tcW w:w="7540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Ochrona grupy zgodnie z zagrożeniem, wsparcie osób potrzebujących pomocy oraz meldunek obejmujący faktycznie obecnych i gości.</w:t>
            </w:r>
          </w:p>
        </w:tc>
      </w:tr>
      <w:tr w:rsidR="00742D26">
        <w:trPr>
          <w:cantSplit/>
        </w:trPr>
        <w:tc>
          <w:tcPr>
            <w:tcW w:w="2438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Pracownik i użytkownik</w:t>
            </w:r>
          </w:p>
        </w:tc>
        <w:tc>
          <w:tcPr>
            <w:tcW w:w="7540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Zgłoszenie zagrożenia, bezpieczna pierwsza reakcja, wykonanie poleceń bez działań eskalacyjnych.</w:t>
            </w:r>
          </w:p>
        </w:tc>
      </w:tr>
    </w:tbl>
    <w:p w:rsidR="00742D26" w:rsidRDefault="00615175">
      <w:pPr>
        <w:pStyle w:val="Nagwek1"/>
      </w:pPr>
      <w:r>
        <w:t>Koordynacja na miejscu</w:t>
      </w:r>
    </w:p>
    <w:p w:rsidR="00742D26" w:rsidRDefault="00615175">
      <w:r>
        <w:t xml:space="preserve">Kierującego lokalnymi działaniami i zastępców wskazuje UJD w karcie Z02 lub innym obowiązującym wykazie, także na noc i weekend. Osoba </w:t>
      </w:r>
      <w:r>
        <w:t>obecna przekazuje stan działań wyznaczonemu kierującemu. Kierujący organizuje lokalne zadania, zbiera meldunki i zapewnia kontakt; nie zastępuje dowodzenia właściwych służb.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81"/>
        <w:gridCol w:w="7597"/>
      </w:tblGrid>
      <w:tr w:rsidR="00742D26">
        <w:trPr>
          <w:cantSplit/>
          <w:tblHeader/>
        </w:trPr>
        <w:tc>
          <w:tcPr>
            <w:tcW w:w="2381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19"/>
              </w:rPr>
              <w:t>Decyzja</w:t>
            </w:r>
          </w:p>
        </w:tc>
        <w:tc>
          <w:tcPr>
            <w:tcW w:w="7597" w:type="dxa"/>
            <w:shd w:val="clear" w:color="auto" w:fill="E7E6E6"/>
          </w:tcPr>
          <w:p w:rsidR="00742D26" w:rsidRDefault="00615175">
            <w:pPr>
              <w:spacing w:before="60" w:after="60"/>
            </w:pPr>
            <w:r>
              <w:rPr>
                <w:b/>
                <w:sz w:val="19"/>
              </w:rPr>
              <w:t>Warunek</w:t>
            </w:r>
          </w:p>
        </w:tc>
      </w:tr>
      <w:tr w:rsidR="00742D26">
        <w:trPr>
          <w:cantSplit/>
        </w:trPr>
        <w:tc>
          <w:tcPr>
            <w:tcW w:w="2381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Ewakuacja</w:t>
            </w:r>
          </w:p>
        </w:tc>
        <w:tc>
          <w:tcPr>
            <w:tcW w:w="7597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 xml:space="preserve">Niezwłocznie przy pożarze lub bezpośrednim zagrożeniu; </w:t>
            </w:r>
            <w:r>
              <w:rPr>
                <w:sz w:val="19"/>
              </w:rPr>
              <w:t>zakres i trasa zgodne z sytuacją, IBP i poleceniami służb.</w:t>
            </w:r>
          </w:p>
        </w:tc>
      </w:tr>
      <w:tr w:rsidR="00742D26">
        <w:trPr>
          <w:cantSplit/>
        </w:trPr>
        <w:tc>
          <w:tcPr>
            <w:tcW w:w="2381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Schronienie lub ukrycie</w:t>
            </w:r>
          </w:p>
        </w:tc>
        <w:tc>
          <w:tcPr>
            <w:tcW w:w="7597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Gdy wyjście zwiększa ryzyko; nie jest pozostaniem w płonącym, zadymionym lub uszkodzonym pomieszczeniu.</w:t>
            </w:r>
          </w:p>
        </w:tc>
      </w:tr>
      <w:tr w:rsidR="00742D26">
        <w:trPr>
          <w:cantSplit/>
        </w:trPr>
        <w:tc>
          <w:tcPr>
            <w:tcW w:w="2381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Izolacja i ograniczenie dostępu</w:t>
            </w:r>
          </w:p>
        </w:tc>
        <w:tc>
          <w:tcPr>
            <w:tcW w:w="7597" w:type="dxa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Bez zbliżania się do zagrożenia i b</w:t>
            </w:r>
            <w:r>
              <w:rPr>
                <w:sz w:val="19"/>
              </w:rPr>
              <w:t>ez blokowania bezpiecznego wyjścia lub służb.</w:t>
            </w:r>
          </w:p>
        </w:tc>
      </w:tr>
      <w:tr w:rsidR="00742D26">
        <w:trPr>
          <w:cantSplit/>
        </w:trPr>
        <w:tc>
          <w:tcPr>
            <w:tcW w:w="2381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Dalsze użytkowanie</w:t>
            </w:r>
          </w:p>
        </w:tc>
        <w:tc>
          <w:tcPr>
            <w:tcW w:w="7597" w:type="dxa"/>
            <w:shd w:val="clear" w:color="auto" w:fill="F4F4F4"/>
          </w:tcPr>
          <w:p w:rsidR="00742D26" w:rsidRDefault="00615175">
            <w:pPr>
              <w:spacing w:before="60" w:after="60"/>
            </w:pPr>
            <w:r>
              <w:rPr>
                <w:sz w:val="19"/>
              </w:rPr>
              <w:t>Po ustaleniu warunków bezpieczeństwa, z zachowaniem decyzji służb i organów; odwołanie alarmu i powrót są odrębnymi czynnościami.</w:t>
            </w:r>
          </w:p>
        </w:tc>
      </w:tr>
    </w:tbl>
    <w:p w:rsidR="00742D26" w:rsidRDefault="00615175">
      <w:r>
        <w:br w:type="page"/>
      </w:r>
    </w:p>
    <w:p w:rsidR="00742D26" w:rsidRDefault="00615175">
      <w:pPr>
        <w:pStyle w:val="Tytu"/>
      </w:pPr>
      <w:r>
        <w:lastRenderedPageBreak/>
        <w:t>Alarmowanie łączność i meldunki</w:t>
      </w:r>
    </w:p>
    <w:p w:rsidR="00742D26" w:rsidRDefault="00615175">
      <w:r>
        <w:t xml:space="preserve">P03 • kanały dostosowane </w:t>
      </w:r>
      <w:r>
        <w:t>do zagrożenia</w:t>
      </w:r>
    </w:p>
    <w:p w:rsidR="00742D26" w:rsidRDefault="00615175">
      <w:pPr>
        <w:pStyle w:val="Nagwek1"/>
      </w:pPr>
      <w:r>
        <w:t>Zgłoszenie i ostrzeganie</w:t>
      </w:r>
    </w:p>
    <w:p w:rsidR="00742D26" w:rsidRDefault="00615175">
      <w:r>
        <w:t>Podaj adres, wejście, miejsce, rodzaj zdarzenia, zagrożone osoby, pilne potrzeby i telefon zwrotny. Korzystaj z najbliższego dostępnego telefonu — służbowego, prywatnego lub stacjonarnego. Nie szukaj telefonu służbowe</w:t>
      </w:r>
      <w:r>
        <w:t>go kosztem czasu. Przy podejrzanym pakunku telefon lub radio używaj dopiero z bezpiecznej odległości. Odebranie wiarygodnego alarmu nie wymaga oczekiwania na potwierdzenie z kilku źródeł.</w:t>
      </w:r>
    </w:p>
    <w:p w:rsidR="00742D26" w:rsidRDefault="00615175">
      <w:pPr>
        <w:pStyle w:val="Nagwek1"/>
      </w:pPr>
      <w:r>
        <w:t>Kanały lokalne i zastępcze</w:t>
      </w:r>
    </w:p>
    <w:p w:rsidR="00742D26" w:rsidRDefault="00615175">
      <w:r>
        <w:t>Karta Z02 określa rzeczywiście dostępne ś</w:t>
      </w:r>
      <w:r>
        <w:t>rodki: DSO, komunikaty nagrane i własne, telefon, bezpośrednie polecenie, przekaz tekstowy lub wizualny i kanał bez zasilania lub Internetu. Łączność telefoniczna pomiędzy budynkami służy koordynacji, o ile jej dostępność jest potwierdzona; sama nie ostrze</w:t>
      </w:r>
      <w:r>
        <w:t>ga wszystkich użytkowników. Nie wysyła się posłańców przez niebezpieczną strefę.</w:t>
      </w:r>
    </w:p>
    <w:p w:rsidR="00742D26" w:rsidRDefault="00615175">
      <w:pPr>
        <w:pStyle w:val="Nagwek1"/>
      </w:pPr>
      <w:r>
        <w:t>SSP ROP i DSO</w:t>
      </w:r>
    </w:p>
    <w:p w:rsidR="00742D26" w:rsidRDefault="00615175">
      <w:r>
        <w:t>SSP i ręczny ostrzegacz pożarowy ROP służą alarmowaniu pożarowemu według IBP oraz dokumentacji obiektu. Nie przyjmuje się ROP jako ogólnego przycisku dla napastn</w:t>
      </w:r>
      <w:r>
        <w:t>ika, pakunku, protestu, alarmu z powietrza lub samej awarii konstrukcji. Rozwiązanie inne może wynikać wyłącznie z udokumentowanych zasad obiektu; nie improwizuje go użytkownik. ROP użyj przy pożarze, gdy możesz to zrobić bez narażenia. Nie zakładaj, że ur</w:t>
      </w:r>
      <w:r>
        <w:t>uchomienie automatycznie zawiadomiło PSP; jeśli nie ma potwierdzenia zgłoszenia, wezwij pomoc.</w:t>
      </w:r>
    </w:p>
    <w:p w:rsidR="00742D26" w:rsidRDefault="00615175">
      <w:r>
        <w:t>Nie zmieniaj samodzielnie ustawień urządzeń ani nie wyłączaj zabezpieczeń. DSO może mieć komunikaty automatyczne i odrębne uprawnienia do mikrofonu. Zapisy o bra</w:t>
      </w:r>
      <w:r>
        <w:t>ku własnego komunikatu wymagają sprawdzenia; nie przesądzają o sprawności systemu.</w:t>
      </w:r>
    </w:p>
    <w:p w:rsidR="00742D26" w:rsidRDefault="00615175">
      <w:pPr>
        <w:pStyle w:val="Nagwek1"/>
      </w:pPr>
      <w:r>
        <w:t>Komunikat i meldunek</w:t>
      </w:r>
    </w:p>
    <w:p w:rsidR="00742D26" w:rsidRDefault="00615175">
      <w:r>
        <w:t>Polecenie ma wskazywać: zagrożenie, strefę, działanie, bezpieczny kierunek i odbiorcę meldunku. Rozróżniaj „opuść budynek” od „przejdź do miejsca ochron</w:t>
      </w:r>
      <w:r>
        <w:t>y wewnątrz”. Stosuj Z03. Meldunek: czas, budynek i grupa, obecni, osoby o nieustalonym miejscu pobytu, poszkodowani, potrzeby, ostatni kontakt i osoba zgłaszająca. Nie zakładaj automatycznie, że brakująca osoba pozostała w budynku.</w:t>
      </w:r>
    </w:p>
    <w:p w:rsidR="00742D26" w:rsidRDefault="00615175">
      <w:pPr>
        <w:pStyle w:val="Nagwek1"/>
      </w:pPr>
      <w:r>
        <w:t>Dostępność i dane</w:t>
      </w:r>
    </w:p>
    <w:p w:rsidR="00742D26" w:rsidRDefault="00615175">
      <w:r>
        <w:t>Pomoc,</w:t>
      </w:r>
      <w:r>
        <w:t xml:space="preserve"> zastępstwa, sprzęt i bezpieczne miejsca oczekiwania muszą odpowiadać obiektowi. Zwykła winda lub platforma nie stanowi środka ewakuacji pożarowej; rozwiązanie specjalne wymaga potwierdzonych zasad. Dane zdrowotne, miejsca ukrycia i informacje operacyjne p</w:t>
      </w:r>
      <w:r>
        <w:t>rzekazuj tylko osobom uprawnionym. Publikację zbiorczą prowadzi wyznaczony przedstawiciel UJD.</w:t>
      </w:r>
    </w:p>
    <w:p w:rsidR="00742D26" w:rsidRDefault="00615175">
      <w:r>
        <w:br w:type="page"/>
      </w:r>
    </w:p>
    <w:p w:rsidR="00742D26" w:rsidRDefault="00615175">
      <w:pPr>
        <w:pStyle w:val="Tytu"/>
      </w:pPr>
      <w:r>
        <w:lastRenderedPageBreak/>
        <w:t>Współpraca dokumentowanie i utrzymanie pakietu</w:t>
      </w:r>
    </w:p>
    <w:p w:rsidR="00742D26" w:rsidRDefault="00615175">
      <w:r>
        <w:t>P03 • obowiązki i przygotowanie do stosowania</w:t>
      </w:r>
    </w:p>
    <w:p w:rsidR="00742D26" w:rsidRDefault="00615175">
      <w:pPr>
        <w:pStyle w:val="Nagwek1"/>
      </w:pPr>
      <w:r>
        <w:t>Współpraca na terenie uczelni</w:t>
      </w:r>
    </w:p>
    <w:p w:rsidR="00742D26" w:rsidRDefault="00615175">
      <w:r>
        <w:t>Art. 50 Prawa o szkolnictwie wyższym</w:t>
      </w:r>
      <w:r>
        <w:t xml:space="preserve"> i nauce określa odpowiedzialność Rektora za porządek i bezpieczeństwo oraz zasady wkroczenia państwowych służb porządkowych. W pilnym zagrożeniu życia lub zdrowia albo klęsce żywiołowej nie czeka się z wezwaniem pomocy na Rektora. Pozostałe sprawy porządk</w:t>
      </w:r>
      <w:r>
        <w:t>owe prowadzi się z uwzględnieniem jego właściwości i ewentualnych porozumień. I07 odróżnia pokojowe zgromadzenie od przemocy.</w:t>
      </w:r>
    </w:p>
    <w:p w:rsidR="00742D26" w:rsidRDefault="00615175">
      <w:r>
        <w:t>Rektor realizuje wymagane zawiadomienia organów i ministra w sytuacjach określonych w art. 50 ust. 7. Personel przekazuje ratownik</w:t>
      </w:r>
      <w:r>
        <w:t>om lokalizację ludzi, zagrożenia, plany i dostęp, jeżeli jest to bezpieczne; podczas interwencji wykonuje polecenia właściwej służby. Nie prowadzi samodzielnie działań taktycznych ani negocjacji ze sprawcą.</w:t>
      </w:r>
    </w:p>
    <w:p w:rsidR="00742D26" w:rsidRDefault="00615175">
      <w:pPr>
        <w:pStyle w:val="Nagwek1"/>
      </w:pPr>
      <w:r>
        <w:t>Zapisy po zdarzeniu</w:t>
      </w:r>
    </w:p>
    <w:p w:rsidR="00742D26" w:rsidRDefault="00615175">
      <w:r>
        <w:t>Z01 obejmuje zgłoszenie i not</w:t>
      </w:r>
      <w:r>
        <w:t>atkę po zdarzeniu powiązane jednym numerem. Zapisz fakty oddzielnie od przypuszczeń, czas, źródło, decyzje, powiadomienia i potwierdzenia. Formularz nie opóźnia ratowania. Dokumentację dowodową zabezpieczaj z bezpiecznego miejsca i udostępniaj uprawnionym;</w:t>
      </w:r>
      <w:r>
        <w:t xml:space="preserve"> zdarzenia pracownicze mogą wymagać odrębnej dokumentacji powypadkowej.</w:t>
      </w:r>
    </w:p>
    <w:p w:rsidR="00742D26" w:rsidRDefault="00615175">
      <w:pPr>
        <w:pStyle w:val="Nagwek1"/>
      </w:pPr>
      <w:r>
        <w:t>Szkolenia ćwiczenia i przegląd</w:t>
      </w:r>
    </w:p>
    <w:p w:rsidR="00742D26" w:rsidRDefault="00615175">
      <w:r>
        <w:t>Zapoznaj pracowników z właściwymi zadaniami i lokalnymi rozwiązaniami, w tym zastępstwami i obsadą poza godzinami pracy. Praktycznie sprawdź kanały, drog</w:t>
      </w:r>
      <w:r>
        <w:t>i, pomoc i meldunki. Przegląd Z06 wykonuj co najmniej raz w roku oraz po zmianie warunków, zdarzeniu lub ćwiczeniu. Wyraźnie oznacz ćwiczenie, bez nieuzgodnionego uruchamiania systemów lub powiadamiania służb.</w:t>
      </w:r>
    </w:p>
    <w:p w:rsidR="00742D26" w:rsidRDefault="00615175">
      <w:r>
        <w:t>Przegląd pakietu nie zastępuje aktualizacji IB</w:t>
      </w:r>
      <w:r>
        <w:t>P ani sprawdzeń ewakuacji wymaganych przez § 17 rozporządzenia przeciwpożarowego. IBP aktualizuje się co najmniej co dwa lata i po istotnych zmianach warunków ochrony ppoż. Terminy prób ewakuacji ustala się według charakteru obiektu; przy cyklicznej jednoc</w:t>
      </w:r>
      <w:r>
        <w:t>zesnej zmianie ponad 50 użytkowników — corocznie, w ciągu trzech miesięcy od rozpoczęcia użytkowania przez nową grupę. Właściwą KM PSP zawiadamia się co najmniej tydzień wcześniej.</w:t>
      </w:r>
    </w:p>
    <w:p w:rsidR="00742D26" w:rsidRDefault="00742D26"/>
    <w:sectPr w:rsidR="00742D26" w:rsidSect="00034616">
      <w:footerReference w:type="default" r:id="rId8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175" w:rsidRDefault="00615175">
      <w:pPr>
        <w:spacing w:after="0"/>
      </w:pPr>
      <w:r>
        <w:separator/>
      </w:r>
    </w:p>
  </w:endnote>
  <w:endnote w:type="continuationSeparator" w:id="0">
    <w:p w:rsidR="00615175" w:rsidRDefault="0061517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D26" w:rsidRDefault="00615175">
    <w:pPr>
      <w:pStyle w:val="Stopka"/>
      <w:jc w:val="right"/>
    </w:pPr>
    <w:r>
      <w:rPr>
        <w:sz w:val="16"/>
      </w:rPr>
      <w:t xml:space="preserve">Pakiet UJD • </w:t>
    </w:r>
    <w:r>
      <w:fldChar w:fldCharType="begin"/>
    </w:r>
    <w:r>
      <w:instrText>PAGE</w:instrText>
    </w:r>
    <w:r>
      <w:fldChar w:fldCharType="separate"/>
    </w:r>
    <w:r w:rsidR="003E2C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175" w:rsidRDefault="00615175">
      <w:pPr>
        <w:spacing w:after="0"/>
      </w:pPr>
      <w:r>
        <w:separator/>
      </w:r>
    </w:p>
  </w:footnote>
  <w:footnote w:type="continuationSeparator" w:id="0">
    <w:p w:rsidR="00615175" w:rsidRDefault="0061517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088"/>
    <w:rsid w:val="0029639D"/>
    <w:rsid w:val="00326F90"/>
    <w:rsid w:val="003E2C28"/>
    <w:rsid w:val="0050565A"/>
    <w:rsid w:val="00615175"/>
    <w:rsid w:val="00742D26"/>
    <w:rsid w:val="00A056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A7ED0"/>
  <w14:defaultImageDpi w14:val="300"/>
  <w15:docId w15:val="{793925FD-A12F-4028-9D1A-85568756C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pPr>
      <w:spacing w:after="100" w:line="240" w:lineRule="auto"/>
    </w:pPr>
    <w:rPr>
      <w:rFonts w:ascii="Calibri" w:hAnsi="Calibri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160"/>
      <w:contextualSpacing/>
    </w:pPr>
    <w:rPr>
      <w:rFonts w:asciiTheme="majorHAnsi" w:eastAsiaTheme="majorEastAsia" w:hAnsiTheme="majorHAnsi" w:cstheme="majorBidi"/>
      <w:spacing w:val="5"/>
      <w:kern w:val="28"/>
      <w:sz w:val="3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E2C2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2C2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3AA10C-3C3C-4D14-B8D3-17E92E50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1253</Words>
  <Characters>7521</Characters>
  <Application>Microsoft Office Word</Application>
  <DocSecurity>0</DocSecurity>
  <Lines>62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UJD</dc:creator>
  <cp:keywords/>
  <dc:description>generated by python-docx</dc:description>
  <cp:lastModifiedBy>Konrad Ujma</cp:lastModifiedBy>
  <cp:revision>3</cp:revision>
  <cp:lastPrinted>2026-10-12T11:45:00Z</cp:lastPrinted>
  <dcterms:created xsi:type="dcterms:W3CDTF">2013-12-23T23:15:00Z</dcterms:created>
  <dcterms:modified xsi:type="dcterms:W3CDTF">2026-10-12T12:10:00Z</dcterms:modified>
  <cp:category/>
  <dc:language>pl-PL</dc:language>
</cp:coreProperties>
</file>