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lang w:val="pl-PL"/>
        </w:rPr>
        <w:t>Instrukcja postępowania przy zagrożeniu z powietrza</w:t>
      </w:r>
    </w:p>
    <w:p>
      <w:r>
        <w:rPr>
          <w:lang w:val="pl-PL"/>
        </w:rPr>
        <w:t>I08 • Uniwersytet Jana Długosza w Częstochowie</w:t>
      </w:r>
    </w:p>
    <w:p>
      <w:r>
        <w:rPr>
          <w:lang w:val="pl-PL"/>
        </w:rPr>
        <w:t>Stosuj po ogłoszeniu alarmu lub otrzymaniu polecenia ochronnego oraz przy bezpośrednim zagrożeniu uderzeniem, wybuchem, ostrzałem lub dronem. Oddziel ostrzeżenie o możliwym zdarzeniu od alarmu wymagającego niezwłocznej ochrony. Nie czekaj na kolejne źródło przy jednoznacznym alarmie.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94"/>
        <w:gridCol w:w="7483"/>
      </w:tblGrid>
      <w:tr>
        <w:trPr>
          <w:cantSplit/>
          <w:tblHeader/>
        </w:trPr>
        <w:tc>
          <w:tcPr>
            <w:tcW w:type="dxa" w:w="2494"/>
            <w:shd w:fill="E7E6E6"/>
          </w:tcPr>
          <w:p>
            <w:pPr>
              <w:spacing w:after="60" w:before="60"/>
            </w:pPr>
            <w:r>
              <w:rPr>
                <w:b/>
                <w:sz w:val="20"/>
                <w:lang w:val="pl-PL"/>
              </w:rPr>
              <w:t>Sytuacja</w:t>
            </w:r>
          </w:p>
        </w:tc>
        <w:tc>
          <w:tcPr>
            <w:tcW w:type="dxa" w:w="7483"/>
            <w:shd w:fill="E7E6E6"/>
          </w:tcPr>
          <w:p>
            <w:pPr>
              <w:spacing w:after="60" w:before="60"/>
            </w:pPr>
            <w:r>
              <w:rPr>
                <w:b/>
                <w:sz w:val="20"/>
                <w:lang w:val="pl-PL"/>
              </w:rPr>
              <w:t>Działanie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Ostrzeżenie lub przygotowanie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Wykonaj zalecenia komunikatu; sprawdź dostęp i przygotuj grupę bez kierowania jej automatycznie na zewnątrz.</w:t>
            </w:r>
          </w:p>
        </w:tc>
      </w:tr>
      <w:tr>
        <w:trPr>
          <w:cantSplit/>
        </w:trPr>
        <w:tc>
          <w:tcPr>
            <w:tcW w:type="dxa" w:w="2494"/>
            <w:shd w:fill="F4F4F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Ogłoszony alarm lub atak</w:t>
            </w:r>
          </w:p>
        </w:tc>
        <w:tc>
          <w:tcPr>
            <w:tcW w:type="dxa" w:w="7483"/>
            <w:shd w:fill="F4F4F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Natychmiast wdroż ochronę w dostępnym sprawdzonym miejscu; nie oczekuj na potwierdzenie obecności środków bojowych.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Samo zauważenie drona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Nie uznawaj automatycznie za atak. Ogranicz narażenie; 112 przy zagrożeniu ludzi albo podejrzeniu niebezpiecznego ładunku.</w:t>
            </w:r>
          </w:p>
        </w:tc>
      </w:tr>
    </w:tbl>
    <w:p>
      <w:pPr>
        <w:pStyle w:val="Heading1"/>
      </w:pPr>
      <w:r>
        <w:rPr>
          <w:lang w:val="pl-PL"/>
        </w:rPr>
        <w:t>Pierwsze działania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8050"/>
      </w:tblGrid>
      <w:tr>
        <w:trPr>
          <w:cantSplit/>
          <w:tblHeader/>
        </w:trPr>
        <w:tc>
          <w:tcPr>
            <w:tcW w:type="dxa" w:w="1928"/>
            <w:shd w:fill="E7E6E6"/>
          </w:tcPr>
          <w:p>
            <w:pPr>
              <w:spacing w:after="60" w:before="60"/>
            </w:pPr>
            <w:r>
              <w:rPr>
                <w:b/>
                <w:sz w:val="20"/>
                <w:lang w:val="pl-PL"/>
              </w:rPr>
              <w:t>Krok</w:t>
            </w:r>
          </w:p>
        </w:tc>
        <w:tc>
          <w:tcPr>
            <w:tcW w:type="dxa" w:w="8050"/>
            <w:shd w:fill="E7E6E6"/>
          </w:tcPr>
          <w:p>
            <w:pPr>
              <w:spacing w:after="60" w:before="60"/>
            </w:pPr>
            <w:r>
              <w:rPr>
                <w:b/>
                <w:sz w:val="20"/>
                <w:lang w:val="pl-PL"/>
              </w:rPr>
              <w:t>Co zrobić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1 Przerwij</w:t>
            </w:r>
          </w:p>
        </w:tc>
        <w:tc>
          <w:tcPr>
            <w:tcW w:type="dxa" w:w="8050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Przerwij zajęcia i pracę objętą zagrożeniem. Odsuń ludzi od okien, przeszkleń i drzwi zewnętrznych.</w:t>
            </w:r>
          </w:p>
        </w:tc>
      </w:tr>
      <w:tr>
        <w:trPr>
          <w:cantSplit/>
        </w:trPr>
        <w:tc>
          <w:tcPr>
            <w:tcW w:type="dxa" w:w="1928"/>
            <w:shd w:fill="F4F4F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2 Przejdź wewnątrz</w:t>
            </w:r>
          </w:p>
        </w:tc>
        <w:tc>
          <w:tcPr>
            <w:tcW w:type="dxa" w:w="8050"/>
            <w:shd w:fill="F4F4F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Idź bezpieczną drogą do wcześniej sprawdzonej strefy z Z02. Nie kieruj grupy automatycznie na dziedziniec, parking ani do odległego obiektu.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3 Gdy brak drogi</w:t>
            </w:r>
          </w:p>
        </w:tc>
        <w:tc>
          <w:tcPr>
            <w:tcW w:type="dxa" w:w="8050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Pozostań w najbezpieczniejszym dostępnym pomieszczeniu z dala od okien. Osłoń głowę i kark. Nie przechodź przez strefę zagrożenia, aby dotrzeć do preferowanej lokalizacji.</w:t>
            </w:r>
          </w:p>
        </w:tc>
      </w:tr>
      <w:tr>
        <w:trPr>
          <w:cantSplit/>
        </w:trPr>
        <w:tc>
          <w:tcPr>
            <w:tcW w:type="dxa" w:w="1928"/>
            <w:shd w:fill="F4F4F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4 Wspieraj</w:t>
            </w:r>
          </w:p>
        </w:tc>
        <w:tc>
          <w:tcPr>
            <w:tcW w:type="dxa" w:w="8050"/>
            <w:shd w:fill="F4F4F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Pomóż osobom wymagającym wsparcia zgodnie z miejscowymi zasadami. Nie używaj zwykłych wind i nie zbieraj rzeczy kosztem czasu.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5 Zgłoś</w:t>
            </w:r>
          </w:p>
        </w:tc>
        <w:tc>
          <w:tcPr>
            <w:tcW w:type="dxa" w:w="8050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Przekaż kierującemu położenie, obecność, brakujących i pilne potrzeby. 112 służy zgłoszeniu zdarzenia lub potrzeby ratowania, nie sprawdzaniu znaczenia syreny.</w:t>
            </w:r>
          </w:p>
        </w:tc>
      </w:tr>
      <w:tr>
        <w:trPr>
          <w:cantSplit/>
        </w:trPr>
        <w:tc>
          <w:tcPr>
            <w:tcW w:type="dxa" w:w="1928"/>
            <w:shd w:fill="F4F4F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6 Oczekuj bezpiecznie</w:t>
            </w:r>
          </w:p>
        </w:tc>
        <w:tc>
          <w:tcPr>
            <w:tcW w:type="dxa" w:w="8050"/>
            <w:shd w:fill="F4F4F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/>
              </w:rPr>
              <w:t>Śledź polecenia. Pożar, dym, gaz lub uszkodzona konstrukcja wymagają opuszczenia bezpośrednio zagrożonej strefy także podczas trwającego alarmu z powietrza.</w:t>
            </w:r>
          </w:p>
        </w:tc>
      </w:tr>
    </w:tbl>
    <w:p>
      <w:r>
        <w:rPr>
          <w:lang w:val="pl-PL"/>
        </w:rPr>
        <w:br w:type="page"/>
      </w:r>
    </w:p>
    <w:p>
      <w:pPr>
        <w:pStyle w:val="Title"/>
      </w:pPr>
      <w:r>
        <w:rPr>
          <w:lang w:val="pl-PL"/>
        </w:rPr>
        <w:t>Miejsca ochrony role i komunikaty</w:t>
      </w:r>
    </w:p>
    <w:p>
      <w:r>
        <w:rPr>
          <w:lang w:val="pl-PL"/>
        </w:rPr>
        <w:t>I08 • zagrożenie z powietrza</w:t>
      </w:r>
    </w:p>
    <w:p>
      <w:pPr>
        <w:pStyle w:val="Heading1"/>
      </w:pPr>
      <w:r>
        <w:rPr>
          <w:lang w:val="pl-PL"/>
        </w:rPr>
        <w:t>Dobór pomieszczenia</w:t>
      </w:r>
    </w:p>
    <w:p>
      <w:r>
        <w:rPr>
          <w:lang w:val="pl-PL"/>
        </w:rPr>
        <w:t>Karta Z02 wskazuje sprawdzone miejsca, bezpieczne dojścia, pojemność, dostęp i zastępstwo. Piwnica lub pomieszczenie techniczne nie jest automatycznie miejscem ochrony. Uwzględnij stan konstrukcji, instalacje, materiały, drożność i możliwość pomocy. Nie kieruj osób do piwnicy w stanie krytycznym, magazynu materiałów niebezpiecznych ani strefy pożaru. Doraźny wybór bezpieczniejszego pomieszczenia nie nadaje mu statusu schronu, ukrycia, MDS lub punktu schronienia.</w:t>
      </w:r>
    </w:p>
    <w:p>
      <w:pPr>
        <w:pStyle w:val="Heading1"/>
      </w:pPr>
      <w:r>
        <w:rPr>
          <w:lang w:val="pl-PL"/>
        </w:rPr>
        <w:t>Zadania personelu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7540"/>
      </w:tblGrid>
      <w:tr>
        <w:trPr>
          <w:cantSplit/>
          <w:tblHeader/>
        </w:trPr>
        <w:tc>
          <w:tcPr>
            <w:tcW w:type="dxa" w:w="2438"/>
            <w:shd w:fill="E7E6E6"/>
          </w:tcPr>
          <w:p>
            <w:pPr>
              <w:spacing w:after="60" w:before="60"/>
            </w:pPr>
            <w:r>
              <w:rPr>
                <w:b/>
                <w:sz w:val="19"/>
                <w:lang w:val="pl-PL"/>
              </w:rPr>
              <w:t>Funkcja</w:t>
            </w:r>
          </w:p>
        </w:tc>
        <w:tc>
          <w:tcPr>
            <w:tcW w:type="dxa" w:w="7540"/>
            <w:shd w:fill="E7E6E6"/>
          </w:tcPr>
          <w:p>
            <w:pPr>
              <w:spacing w:after="60" w:before="60"/>
            </w:pPr>
            <w:r>
              <w:rPr>
                <w:b/>
                <w:sz w:val="19"/>
                <w:lang w:val="pl-PL"/>
              </w:rPr>
              <w:t>Zadanie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before="60"/>
            </w:pPr>
            <w:r>
              <w:rPr>
                <w:b w:val="0"/>
                <w:sz w:val="19"/>
                <w:lang w:val="pl-PL"/>
              </w:rPr>
              <w:t>Prowadzący i pracownik</w:t>
            </w:r>
          </w:p>
        </w:tc>
        <w:tc>
          <w:tcPr>
            <w:tcW w:type="dxa" w:w="7540"/>
          </w:tcPr>
          <w:p>
            <w:pPr>
              <w:spacing w:after="60" w:before="60"/>
            </w:pPr>
            <w:r>
              <w:rPr>
                <w:b w:val="0"/>
                <w:sz w:val="19"/>
                <w:lang w:val="pl-PL"/>
              </w:rPr>
              <w:t>Kierują grupę do sprawdzonej strefy wewnętrznej; ustalają obecność z uwzględnieniem gości i przekazują potrzeby.</w:t>
            </w:r>
          </w:p>
        </w:tc>
      </w:tr>
      <w:tr>
        <w:trPr>
          <w:cantSplit/>
        </w:trPr>
        <w:tc>
          <w:tcPr>
            <w:tcW w:type="dxa" w:w="2438"/>
            <w:shd w:fill="F4F4F4"/>
          </w:tcPr>
          <w:p>
            <w:pPr>
              <w:spacing w:after="60" w:before="60"/>
            </w:pPr>
            <w:r>
              <w:rPr>
                <w:b w:val="0"/>
                <w:sz w:val="19"/>
                <w:lang w:val="pl-PL"/>
              </w:rPr>
              <w:t>Portiernia i ochrona</w:t>
            </w:r>
          </w:p>
        </w:tc>
        <w:tc>
          <w:tcPr>
            <w:tcW w:type="dxa" w:w="7540"/>
            <w:shd w:fill="F4F4F4"/>
          </w:tcPr>
          <w:p>
            <w:pPr>
              <w:spacing w:after="60" w:before="60"/>
            </w:pPr>
            <w:r>
              <w:rPr>
                <w:b w:val="0"/>
                <w:sz w:val="19"/>
                <w:lang w:val="pl-PL"/>
              </w:rPr>
              <w:t>Przekazują alarm oraz dostępne polecenia; nie wysyłają grup na zewnątrz i nie ujawniają publicznie miejsc ukrycia.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before="60"/>
            </w:pPr>
            <w:r>
              <w:rPr>
                <w:b w:val="0"/>
                <w:sz w:val="19"/>
                <w:lang w:val="pl-PL"/>
              </w:rPr>
              <w:t>Administrator i kierujący</w:t>
            </w:r>
          </w:p>
        </w:tc>
        <w:tc>
          <w:tcPr>
            <w:tcW w:type="dxa" w:w="7540"/>
          </w:tcPr>
          <w:p>
            <w:pPr>
              <w:spacing w:after="60" w:before="60"/>
            </w:pPr>
            <w:r>
              <w:rPr>
                <w:b w:val="0"/>
                <w:sz w:val="19"/>
                <w:lang w:val="pl-PL"/>
              </w:rPr>
              <w:t>Zapewniają dostęp i pomoc według Z02; zbierają meldunki, utrzymują kontakt ze służbami i przekazują dalsze ograniczenia.</w:t>
            </w:r>
          </w:p>
        </w:tc>
      </w:tr>
    </w:tbl>
    <w:p>
      <w:pPr>
        <w:pStyle w:val="Heading1"/>
      </w:pPr>
      <w:r>
        <w:rPr>
          <w:lang w:val="pl-PL"/>
        </w:rPr>
        <w:t>Łączność i alarm</w:t>
      </w:r>
    </w:p>
    <w:p>
      <w:r>
        <w:rPr>
          <w:lang w:val="pl-PL"/>
        </w:rPr>
        <w:t>Stosuj P03, I05 i kanały wpisane w Z02. ROP nie służy ogłoszeniu alarmu z powietrza; sygnał pożarowy może wyprowadzić ludzi na otwartą przestrzeń. Systemy i komunikaty muszą jednoznacznie rozróżniać wyjście od schronienia. Urzędowy alarm dla ludności to trzyminutowy dźwięk modulowany, odwołanie — trzyminutowy ciągły; sam alarm nie określa rodzaju zagrożenia. Wykonuj związane z nim komunikaty władz i służb.</w:t>
      </w:r>
    </w:p>
    <w:p>
      <w:pPr>
        <w:pStyle w:val="Heading1"/>
      </w:pPr>
      <w:r>
        <w:rPr>
          <w:lang w:val="pl-PL"/>
        </w:rPr>
        <w:t>Przykładowe polecenie</w:t>
      </w:r>
    </w:p>
    <w:p>
      <w:r>
        <w:rPr>
          <w:lang w:val="pl-PL"/>
        </w:rPr>
        <w:t>„Zagrożenie z powietrza. Proszę przejść wewnątrz budynku do [sprawdzona strefa] drogą [trasa], odsunąć się od okien i nie wychodzić na dziedziniec ani parking. Prowadzący zgłaszają obecność i potrzeby do [funkcja]”. Jeśli przejście jest niebezpieczne, poleć pozostanie w najbezpieczniejszym dostępnym pomieszczeniu i zgłoszenie położenia.</w:t>
      </w:r>
    </w:p>
    <w:p>
      <w:r>
        <w:rPr>
          <w:lang w:val="pl-PL"/>
        </w:rPr>
        <w:br w:type="page"/>
      </w:r>
    </w:p>
    <w:p>
      <w:pPr>
        <w:pStyle w:val="Title"/>
      </w:pPr>
      <w:r>
        <w:rPr>
          <w:lang w:val="pl-PL"/>
        </w:rPr>
        <w:t>Dron zagrożenia jednoczesne i zakończenie</w:t>
      </w:r>
    </w:p>
    <w:p>
      <w:r>
        <w:rPr>
          <w:lang w:val="pl-PL"/>
        </w:rPr>
        <w:t>I08 • dalsze warianty działania</w:t>
      </w:r>
    </w:p>
    <w:p>
      <w:pPr>
        <w:pStyle w:val="Heading1"/>
      </w:pPr>
      <w:r>
        <w:rPr>
          <w:lang w:val="pl-PL"/>
        </w:rPr>
        <w:t>Dron i pozostałości</w:t>
      </w:r>
    </w:p>
    <w:p>
      <w:r>
        <w:rPr>
          <w:lang w:val="pl-PL"/>
        </w:rPr>
        <w:t>Nie podchodź do drona, szczątków, amunicji lub nieznanego przedmiotu, nie dotykaj i nie przechwytuj ich. Oddal ludzi od zagrożonej strefy, okien i otwartej przestrzeni. Z bezpiecznego miejsca zgłoś 112 bezpośrednie zagrożenie lub podejrzenie niebezpiecznego ładunku. Czas, miejsce i kierunek zanotuj tylko bez narażenia. Nie traktuj filmowania jako zadania personelu.</w:t>
      </w:r>
    </w:p>
    <w:p>
      <w:pPr>
        <w:pStyle w:val="Heading1"/>
      </w:pPr>
      <w:r>
        <w:rPr>
          <w:lang w:val="pl-PL"/>
        </w:rPr>
        <w:t>Pożar podczas alarmu</w:t>
      </w:r>
    </w:p>
    <w:p>
      <w:r>
        <w:rPr>
          <w:lang w:val="pl-PL"/>
        </w:rPr>
        <w:t>Nie pozostawaj w strefie pożaru lub dymu, aby oczekiwać na odwołanie alarmu. Wykonaj I13, uwzględniając zagrożenie na zewnątrz i najbezpieczniejszą dostępną drogę. Uszkodzona konstrukcja wymaga I12. Kierujący przekazuje służbom zagrożenia jednoczesne; nie stosuje się jednego miejsca docelowego do wszystkich zdarzeń.</w:t>
      </w:r>
    </w:p>
    <w:p>
      <w:pPr>
        <w:pStyle w:val="Heading1"/>
      </w:pPr>
      <w:r>
        <w:rPr>
          <w:lang w:val="pl-PL"/>
        </w:rPr>
        <w:t>Alarm a koniec zagrożenia</w:t>
      </w:r>
    </w:p>
    <w:p>
      <w:r>
        <w:rPr>
          <w:lang w:val="pl-PL"/>
        </w:rPr>
        <w:t>Samo ucichnięcie syreny nie odwołuje alarmu. Zapisz oficjalne źródło i czas odwołania. Po takim komunikacie wyznaczona osoba UJD przekazuje bezpieczny sposób dalszego działania zgodny z ograniczeniami służb. Wyjście etapowe i powrót do uszkodzonego obiektu nie następują automatycznie. Ponownie ustal obecność i pilne potrzeby.</w:t>
      </w:r>
    </w:p>
    <w:p>
      <w:pPr>
        <w:pStyle w:val="Heading1"/>
      </w:pPr>
      <w:r>
        <w:rPr>
          <w:lang w:val="pl-PL"/>
        </w:rPr>
        <w:t>Dokumentowanie i przygotowanie</w:t>
      </w:r>
    </w:p>
    <w:p>
      <w:r>
        <w:rPr>
          <w:lang w:val="pl-PL"/>
        </w:rPr>
        <w:t>Z01: źródło i czas alarmu, lokalizacja grup, użyte drogi, meldunki, potrzeby, odwołanie i decyzje o użytkowaniu. Z06: dostęp, przydział grup, pojemność, kanały bez zasilania, pomoc i oznakowanie. Miejscowe plany pożarowe pokazują drogi ewakuacji; nie są samodzielnym planem schronienia.</w:t>
      </w:r>
    </w:p>
    <w:p>
      <w:r>
        <w:rPr>
          <w:lang w:val="pl-PL"/>
        </w:rPr>
        <w:t>Powiązania: P03; I05; I10 przy podejrzanym przedmiocie; I12; I13; Z01–Z04 i Z06. Podstawa alarmów: rozporządzenie MSWiA z 14.05.2025 r., Dz. U. poz. 645. Materiały MSWiA dla szkół porównano organizacyjnie, bez przenoszenia zasad odbioru dzieci na dorosłych użytkowników uczelni.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  <w:lang w:val="pl-PL"/>
      </w:rPr>
      <w:t xml:space="preserve">Pakiet UJD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