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lang w:val="pl-PL"/>
        </w:rPr>
        <w:t>Instrukcja postępowania po groźbie użycia ładunku wybuchowego</w:t>
      </w:r>
    </w:p>
    <w:p>
      <w:r>
        <w:rPr>
          <w:lang w:val="pl-PL"/>
        </w:rPr>
        <w:t>I11 • Uniwersytet Jana Długosza w Częstochowie</w:t>
      </w:r>
    </w:p>
    <w:p>
      <w:r>
        <w:rPr>
          <w:lang w:val="pl-PL"/>
        </w:rPr>
        <w:t>Stosuj po telefonicznej, elektronicznej, ustnej lub pisemnej groźbie albo informacji od osoby trzeciej. Nie uznawaj samodzielnie wiadomości za żart. Ujawniony podejrzany przedmiot wymaga również I10.</w:t>
      </w:r>
    </w:p>
    <w:p>
      <w:pPr>
        <w:pStyle w:val="Heading1"/>
      </w:pPr>
      <w:r>
        <w:rPr>
          <w:lang w:val="pl-PL"/>
        </w:rPr>
        <w:t>Pierwsze działania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28"/>
        <w:gridCol w:w="8050"/>
      </w:tblGrid>
      <w:tr>
        <w:trPr>
          <w:cantSplit/>
          <w:tblHeader/>
        </w:trPr>
        <w:tc>
          <w:tcPr>
            <w:tcW w:type="dxa" w:w="1928"/>
            <w:shd w:fill="E7E6E6"/>
          </w:tcPr>
          <w:p>
            <w:pPr>
              <w:spacing w:after="60" w:before="60"/>
            </w:pPr>
            <w:r>
              <w:rPr>
                <w:b/>
                <w:sz w:val="20"/>
                <w:lang w:val="pl-PL"/>
              </w:rPr>
              <w:t>Krok</w:t>
            </w:r>
          </w:p>
        </w:tc>
        <w:tc>
          <w:tcPr>
            <w:tcW w:type="dxa" w:w="8050"/>
            <w:shd w:fill="E7E6E6"/>
          </w:tcPr>
          <w:p>
            <w:pPr>
              <w:spacing w:after="60" w:before="60"/>
            </w:pPr>
            <w:r>
              <w:rPr>
                <w:b/>
                <w:sz w:val="20"/>
                <w:lang w:val="pl-PL"/>
              </w:rPr>
              <w:t>Co zrobić</w:t>
            </w:r>
          </w:p>
        </w:tc>
      </w:tr>
      <w:tr>
        <w:trPr>
          <w:cantSplit/>
        </w:trPr>
        <w:tc>
          <w:tcPr>
            <w:tcW w:type="dxa" w:w="1928"/>
          </w:tcPr>
          <w:p>
            <w:pPr>
              <w:spacing w:after="60" w:before="60"/>
            </w:pPr>
            <w:r>
              <w:rPr>
                <w:b w:val="0"/>
                <w:sz w:val="20"/>
                <w:lang w:val="pl-PL"/>
              </w:rPr>
              <w:t>1 Zachowaj treść</w:t>
            </w:r>
          </w:p>
        </w:tc>
        <w:tc>
          <w:tcPr>
            <w:tcW w:type="dxa" w:w="8050"/>
          </w:tcPr>
          <w:p>
            <w:pPr>
              <w:spacing w:after="60" w:before="60"/>
            </w:pPr>
            <w:r>
              <w:rPr>
                <w:b w:val="0"/>
                <w:sz w:val="20"/>
                <w:lang w:val="pl-PL"/>
              </w:rPr>
              <w:t>Zanotuj dokładne słowa, godzinę i kanał. Przy rozmowie zachowaj spokój; ustal miejsce i czas zagrożenia tylko gdy bezpieczne, bez opóźniania zgłoszenia.</w:t>
            </w:r>
          </w:p>
        </w:tc>
      </w:tr>
      <w:tr>
        <w:trPr>
          <w:cantSplit/>
        </w:trPr>
        <w:tc>
          <w:tcPr>
            <w:tcW w:type="dxa" w:w="1928"/>
            <w:shd w:fill="F4F4F4"/>
          </w:tcPr>
          <w:p>
            <w:pPr>
              <w:spacing w:after="60" w:before="60"/>
            </w:pPr>
            <w:r>
              <w:rPr>
                <w:b w:val="0"/>
                <w:sz w:val="20"/>
                <w:lang w:val="pl-PL"/>
              </w:rPr>
              <w:t>2 Powiadom Policję</w:t>
            </w:r>
          </w:p>
        </w:tc>
        <w:tc>
          <w:tcPr>
            <w:tcW w:type="dxa" w:w="8050"/>
            <w:shd w:fill="F4F4F4"/>
          </w:tcPr>
          <w:p>
            <w:pPr>
              <w:spacing w:after="60" w:before="60"/>
            </w:pPr>
            <w:r>
              <w:rPr>
                <w:b w:val="0"/>
                <w:sz w:val="20"/>
                <w:lang w:val="pl-PL"/>
              </w:rPr>
              <w:t>Niezwłocznie dzwoń pod 112. Jeśli rozmowa trwa, inna osoba może równolegle wezwać pomoc innym telefonem. Nie kończ zbierania danych kosztem powiadomienia.</w:t>
            </w:r>
          </w:p>
        </w:tc>
      </w:tr>
      <w:tr>
        <w:trPr>
          <w:cantSplit/>
        </w:trPr>
        <w:tc>
          <w:tcPr>
            <w:tcW w:type="dxa" w:w="1928"/>
          </w:tcPr>
          <w:p>
            <w:pPr>
              <w:spacing w:after="60" w:before="60"/>
            </w:pPr>
            <w:r>
              <w:rPr>
                <w:b w:val="0"/>
                <w:sz w:val="20"/>
                <w:lang w:val="pl-PL"/>
              </w:rPr>
              <w:t>3 Powiadom UJD</w:t>
            </w:r>
          </w:p>
        </w:tc>
        <w:tc>
          <w:tcPr>
            <w:tcW w:type="dxa" w:w="8050"/>
          </w:tcPr>
          <w:p>
            <w:pPr>
              <w:spacing w:after="60" w:before="60"/>
            </w:pPr>
            <w:r>
              <w:rPr>
                <w:b w:val="0"/>
                <w:sz w:val="20"/>
                <w:lang w:val="pl-PL"/>
              </w:rPr>
              <w:t>Przekaż ochronie i kierującemu treść, miejsce i znane okoliczności. Ustalenie faktów i obieg kierowniczy nie zastępują wezwania Policji.</w:t>
            </w:r>
          </w:p>
        </w:tc>
      </w:tr>
      <w:tr>
        <w:trPr>
          <w:cantSplit/>
        </w:trPr>
        <w:tc>
          <w:tcPr>
            <w:tcW w:type="dxa" w:w="1928"/>
            <w:shd w:fill="F4F4F4"/>
          </w:tcPr>
          <w:p>
            <w:pPr>
              <w:spacing w:after="60" w:before="60"/>
            </w:pPr>
            <w:r>
              <w:rPr>
                <w:b w:val="0"/>
                <w:sz w:val="20"/>
                <w:lang w:val="pl-PL"/>
              </w:rPr>
              <w:t>4 Chroń ludzi</w:t>
            </w:r>
          </w:p>
        </w:tc>
        <w:tc>
          <w:tcPr>
            <w:tcW w:type="dxa" w:w="8050"/>
            <w:shd w:fill="F4F4F4"/>
          </w:tcPr>
          <w:p>
            <w:pPr>
              <w:spacing w:after="60" w:before="60"/>
            </w:pPr>
            <w:r>
              <w:rPr>
                <w:b w:val="0"/>
                <w:sz w:val="20"/>
                <w:lang w:val="pl-PL"/>
              </w:rPr>
              <w:t>Oddal ludzi od bezpośredniego zagrożenia bez zbliżania się do przedmiotu. Zakres, kierunek i miejsce docelowe dalszej ewakuacji ustal według Policji i sytuacji.</w:t>
            </w:r>
          </w:p>
        </w:tc>
      </w:tr>
      <w:tr>
        <w:trPr>
          <w:cantSplit/>
        </w:trPr>
        <w:tc>
          <w:tcPr>
            <w:tcW w:type="dxa" w:w="1928"/>
          </w:tcPr>
          <w:p>
            <w:pPr>
              <w:spacing w:after="60" w:before="60"/>
            </w:pPr>
            <w:r>
              <w:rPr>
                <w:b w:val="0"/>
                <w:sz w:val="20"/>
                <w:lang w:val="pl-PL"/>
              </w:rPr>
              <w:t>5 Nie szukaj</w:t>
            </w:r>
          </w:p>
        </w:tc>
        <w:tc>
          <w:tcPr>
            <w:tcW w:type="dxa" w:w="8050"/>
          </w:tcPr>
          <w:p>
            <w:pPr>
              <w:spacing w:after="60" w:before="60"/>
            </w:pPr>
            <w:r>
              <w:rPr>
                <w:b w:val="0"/>
                <w:sz w:val="20"/>
                <w:lang w:val="pl-PL"/>
              </w:rPr>
              <w:t>Nie organizuj samodzielnego przeszukania przez personel, nie otwieraj szaf, nie ruszaj przedmiotów i nie wysyłaj osoby do wskazanego miejsca ładunku.</w:t>
            </w:r>
          </w:p>
        </w:tc>
      </w:tr>
      <w:tr>
        <w:trPr>
          <w:cantSplit/>
        </w:trPr>
        <w:tc>
          <w:tcPr>
            <w:tcW w:type="dxa" w:w="1928"/>
            <w:shd w:fill="F4F4F4"/>
          </w:tcPr>
          <w:p>
            <w:pPr>
              <w:spacing w:after="60" w:before="60"/>
            </w:pPr>
            <w:r>
              <w:rPr>
                <w:b w:val="0"/>
                <w:sz w:val="20"/>
                <w:lang w:val="pl-PL"/>
              </w:rPr>
              <w:t>6 Przekaż dane</w:t>
            </w:r>
          </w:p>
        </w:tc>
        <w:tc>
          <w:tcPr>
            <w:tcW w:type="dxa" w:w="8050"/>
            <w:shd w:fill="F4F4F4"/>
          </w:tcPr>
          <w:p>
            <w:pPr>
              <w:spacing w:after="60" w:before="60"/>
            </w:pPr>
            <w:r>
              <w:rPr>
                <w:b w:val="0"/>
                <w:sz w:val="20"/>
                <w:lang w:val="pl-PL"/>
              </w:rPr>
              <w:t>Służbom podaj treść, czas, kanał, świadków, zagrożone osoby i podjęte działania. Zachowaj oryginał wiadomości, nie usuwaj ani nie edytuj danych.</w:t>
            </w:r>
          </w:p>
        </w:tc>
      </w:tr>
    </w:tbl>
    <w:p>
      <w:pPr>
        <w:pStyle w:val="Heading1"/>
      </w:pPr>
      <w:r>
        <w:rPr>
          <w:lang w:val="pl-PL"/>
        </w:rPr>
        <w:t>Łączność</w:t>
      </w:r>
    </w:p>
    <w:p>
      <w:r>
        <w:rPr>
          <w:lang w:val="pl-PL"/>
        </w:rPr>
        <w:t>Użyj dostępnego telefonu; przy ujawnionym pakunku odejdź na bezpieczną odległość przed połączeniem. Nie uruchamiaj ROP jako rutynowego alarmu bombowego. Pożar równoczesny wymaga I13; dokumentacja obiektu określa system pożarowy.</w:t>
      </w:r>
    </w:p>
    <w:p>
      <w:r>
        <w:rPr>
          <w:lang w:val="pl-PL"/>
        </w:rPr>
        <w:br w:type="page"/>
      </w:r>
    </w:p>
    <w:p>
      <w:pPr>
        <w:pStyle w:val="Title"/>
      </w:pPr>
      <w:r>
        <w:rPr>
          <w:lang w:val="pl-PL"/>
        </w:rPr>
        <w:t>Wariant wiadomości i organizacja działań</w:t>
      </w:r>
    </w:p>
    <w:p>
      <w:r>
        <w:rPr>
          <w:lang w:val="pl-PL"/>
        </w:rPr>
        <w:t>I11 • groźba ładunku wybuchowego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268"/>
        <w:gridCol w:w="7710"/>
      </w:tblGrid>
      <w:tr>
        <w:trPr>
          <w:cantSplit/>
          <w:tblHeader/>
        </w:trPr>
        <w:tc>
          <w:tcPr>
            <w:tcW w:type="dxa" w:w="2268"/>
            <w:shd w:fill="E7E6E6"/>
          </w:tcPr>
          <w:p>
            <w:pPr>
              <w:spacing w:after="60" w:before="60"/>
            </w:pPr>
            <w:r>
              <w:rPr>
                <w:b/>
                <w:sz w:val="20"/>
                <w:lang w:val="pl-PL"/>
              </w:rPr>
              <w:t>Kanał</w:t>
            </w:r>
          </w:p>
        </w:tc>
        <w:tc>
          <w:tcPr>
            <w:tcW w:type="dxa" w:w="7710"/>
            <w:shd w:fill="E7E6E6"/>
          </w:tcPr>
          <w:p>
            <w:pPr>
              <w:spacing w:after="60" w:before="60"/>
            </w:pPr>
            <w:r>
              <w:rPr>
                <w:b/>
                <w:sz w:val="20"/>
                <w:lang w:val="pl-PL"/>
              </w:rPr>
              <w:t>Informacje do zachowania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spacing w:after="60" w:before="60"/>
            </w:pPr>
            <w:r>
              <w:rPr>
                <w:b w:val="0"/>
                <w:sz w:val="20"/>
                <w:lang w:val="pl-PL"/>
              </w:rPr>
              <w:t>Telefon</w:t>
            </w:r>
          </w:p>
        </w:tc>
        <w:tc>
          <w:tcPr>
            <w:tcW w:type="dxa" w:w="7710"/>
          </w:tcPr>
          <w:p>
            <w:pPr>
              <w:spacing w:after="60" w:before="60"/>
            </w:pPr>
            <w:r>
              <w:rPr>
                <w:b w:val="0"/>
                <w:sz w:val="20"/>
                <w:lang w:val="pl-PL"/>
              </w:rPr>
              <w:t>Treść, godzina, numer widoczny, wypowiedzi, głos i odgłosy; rozróżniaj obserwację od domysłu. Nagranie tylko jeśli dostępne i bez opóźniania.</w:t>
            </w:r>
          </w:p>
        </w:tc>
      </w:tr>
      <w:tr>
        <w:trPr>
          <w:cantSplit/>
        </w:trPr>
        <w:tc>
          <w:tcPr>
            <w:tcW w:type="dxa" w:w="2268"/>
            <w:shd w:fill="F4F4F4"/>
          </w:tcPr>
          <w:p>
            <w:pPr>
              <w:spacing w:after="60" w:before="60"/>
            </w:pPr>
            <w:r>
              <w:rPr>
                <w:b w:val="0"/>
                <w:sz w:val="20"/>
                <w:lang w:val="pl-PL"/>
              </w:rPr>
              <w:t>E-mail lub komunikator</w:t>
            </w:r>
          </w:p>
        </w:tc>
        <w:tc>
          <w:tcPr>
            <w:tcW w:type="dxa" w:w="7710"/>
            <w:shd w:fill="F4F4F4"/>
          </w:tcPr>
          <w:p>
            <w:pPr>
              <w:spacing w:after="60" w:before="60"/>
            </w:pPr>
            <w:r>
              <w:rPr>
                <w:b w:val="0"/>
                <w:sz w:val="20"/>
                <w:lang w:val="pl-PL"/>
              </w:rPr>
              <w:t>Oryginalna wiadomość, nadawca, czas i dostępne dane techniczne; informatyka angażuj do zabezpieczenia zgodnie z uprawnieniami.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spacing w:after="60" w:before="60"/>
            </w:pPr>
            <w:r>
              <w:rPr>
                <w:b w:val="0"/>
                <w:sz w:val="20"/>
                <w:lang w:val="pl-PL"/>
              </w:rPr>
              <w:t>Pismo lub informacja ustna</w:t>
            </w:r>
          </w:p>
        </w:tc>
        <w:tc>
          <w:tcPr>
            <w:tcW w:type="dxa" w:w="7710"/>
          </w:tcPr>
          <w:p>
            <w:pPr>
              <w:spacing w:after="60" w:before="60"/>
            </w:pPr>
            <w:r>
              <w:rPr>
                <w:b w:val="0"/>
                <w:sz w:val="20"/>
                <w:lang w:val="pl-PL"/>
              </w:rPr>
              <w:t>Treść, okoliczności, miejsce i świadkowie. Ogranicz manipulowanie pismem; nie podejmuj rozpoznania przedmiotu.</w:t>
            </w:r>
          </w:p>
        </w:tc>
      </w:tr>
    </w:tbl>
    <w:p>
      <w:pPr>
        <w:pStyle w:val="Heading1"/>
      </w:pPr>
      <w:r>
        <w:rPr>
          <w:lang w:val="pl-PL"/>
        </w:rPr>
        <w:t>Zadania personelu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38"/>
        <w:gridCol w:w="7540"/>
      </w:tblGrid>
      <w:tr>
        <w:trPr>
          <w:cantSplit/>
          <w:tblHeader/>
        </w:trPr>
        <w:tc>
          <w:tcPr>
            <w:tcW w:type="dxa" w:w="2438"/>
            <w:shd w:fill="E7E6E6"/>
          </w:tcPr>
          <w:p>
            <w:pPr>
              <w:spacing w:after="60" w:before="60"/>
            </w:pPr>
            <w:r>
              <w:rPr>
                <w:b/>
                <w:sz w:val="19"/>
                <w:lang w:val="pl-PL"/>
              </w:rPr>
              <w:t>Funkcja</w:t>
            </w:r>
          </w:p>
        </w:tc>
        <w:tc>
          <w:tcPr>
            <w:tcW w:type="dxa" w:w="7540"/>
            <w:shd w:fill="E7E6E6"/>
          </w:tcPr>
          <w:p>
            <w:pPr>
              <w:spacing w:after="60" w:before="60"/>
            </w:pPr>
            <w:r>
              <w:rPr>
                <w:b/>
                <w:sz w:val="19"/>
                <w:lang w:val="pl-PL"/>
              </w:rPr>
              <w:t>Zadanie</w:t>
            </w:r>
          </w:p>
        </w:tc>
      </w:tr>
      <w:tr>
        <w:trPr>
          <w:cantSplit/>
        </w:trPr>
        <w:tc>
          <w:tcPr>
            <w:tcW w:type="dxa" w:w="2438"/>
          </w:tcPr>
          <w:p>
            <w:pPr>
              <w:spacing w:after="60" w:before="60"/>
            </w:pPr>
            <w:r>
              <w:rPr>
                <w:b w:val="0"/>
                <w:sz w:val="19"/>
                <w:lang w:val="pl-PL"/>
              </w:rPr>
              <w:t>Odbiorca groźby</w:t>
            </w:r>
          </w:p>
        </w:tc>
        <w:tc>
          <w:tcPr>
            <w:tcW w:type="dxa" w:w="7540"/>
          </w:tcPr>
          <w:p>
            <w:pPr>
              <w:spacing w:after="60" w:before="60"/>
            </w:pPr>
            <w:r>
              <w:rPr>
                <w:b w:val="0"/>
                <w:sz w:val="19"/>
                <w:lang w:val="pl-PL"/>
              </w:rPr>
              <w:t>Pilnie powiadamia i zachowuje treść; nie ocenia samodzielnie prawdziwości groźby.</w:t>
            </w:r>
          </w:p>
        </w:tc>
      </w:tr>
      <w:tr>
        <w:trPr>
          <w:cantSplit/>
        </w:trPr>
        <w:tc>
          <w:tcPr>
            <w:tcW w:type="dxa" w:w="2438"/>
            <w:shd w:fill="F4F4F4"/>
          </w:tcPr>
          <w:p>
            <w:pPr>
              <w:spacing w:after="60" w:before="60"/>
            </w:pPr>
            <w:r>
              <w:rPr>
                <w:b w:val="0"/>
                <w:sz w:val="19"/>
                <w:lang w:val="pl-PL"/>
              </w:rPr>
              <w:t>Ochrona i administrator</w:t>
            </w:r>
          </w:p>
        </w:tc>
        <w:tc>
          <w:tcPr>
            <w:tcW w:type="dxa" w:w="7540"/>
            <w:shd w:fill="F4F4F4"/>
          </w:tcPr>
          <w:p>
            <w:pPr>
              <w:spacing w:after="60" w:before="60"/>
            </w:pPr>
            <w:r>
              <w:rPr>
                <w:b w:val="0"/>
                <w:sz w:val="19"/>
                <w:lang w:val="pl-PL"/>
              </w:rPr>
              <w:t>Przekazują znane plany, dostęp i meldunki Policji; nie prowadzą przeszukania pirotechnicznego.</w:t>
            </w:r>
          </w:p>
        </w:tc>
      </w:tr>
      <w:tr>
        <w:trPr>
          <w:cantSplit/>
        </w:trPr>
        <w:tc>
          <w:tcPr>
            <w:tcW w:type="dxa" w:w="2438"/>
          </w:tcPr>
          <w:p>
            <w:pPr>
              <w:spacing w:after="60" w:before="60"/>
            </w:pPr>
            <w:r>
              <w:rPr>
                <w:b w:val="0"/>
                <w:sz w:val="19"/>
                <w:lang w:val="pl-PL"/>
              </w:rPr>
              <w:t>Kierujący i władze</w:t>
            </w:r>
          </w:p>
        </w:tc>
        <w:tc>
          <w:tcPr>
            <w:tcW w:type="dxa" w:w="7540"/>
          </w:tcPr>
          <w:p>
            <w:pPr>
              <w:spacing w:after="60" w:before="60"/>
            </w:pPr>
            <w:r>
              <w:rPr>
                <w:b w:val="0"/>
                <w:sz w:val="19"/>
                <w:lang w:val="pl-PL"/>
              </w:rPr>
              <w:t>Koordynują komunikaty, organizację grup i dalsze użytkowanie zgodnie z ustaleniami ze służbami.</w:t>
            </w:r>
          </w:p>
        </w:tc>
      </w:tr>
    </w:tbl>
    <w:p>
      <w:pPr>
        <w:pStyle w:val="Heading1"/>
      </w:pPr>
      <w:r>
        <w:rPr>
          <w:lang w:val="pl-PL"/>
        </w:rPr>
        <w:t>Ewakuacja i meldunek</w:t>
      </w:r>
    </w:p>
    <w:p>
      <w:r>
        <w:rPr>
          <w:lang w:val="pl-PL"/>
        </w:rPr>
        <w:t>Nie prowadź grupy przez miejsce wskazanego lub ujawnionego ładunku. Nie przyjmuj automatycznie zwykłego miejsca zbiórki — może leżeć w zagrożonej strefie. Stosuj bezpieczną trasę i miejsce wskazane według Policji. Nie zbieraj rzeczy i nie wracaj po mienie. Meldunek obejmuje obecnych, dodatkowych gości, brakujących oraz ostatnie znane miejsce kontaktu.</w:t>
      </w:r>
    </w:p>
    <w:p>
      <w:pPr>
        <w:pStyle w:val="Heading1"/>
      </w:pPr>
      <w:r>
        <w:rPr>
          <w:lang w:val="pl-PL"/>
        </w:rPr>
        <w:t>Komunikat</w:t>
      </w:r>
    </w:p>
    <w:p>
      <w:r>
        <w:rPr>
          <w:lang w:val="pl-PL"/>
        </w:rPr>
        <w:t>„Z powodu zagrożenia dostęp do [strefa] jest ograniczony. Proszę przejść drogą [bezpieczna trasa] do [miejsce] i wykonywać polecenia personelu oraz Policji”. Podawaj tylko potwierdzone polecenia; nie publikuj niezweryfikowanej treści ani danych operacyjnych.</w:t>
      </w:r>
    </w:p>
    <w:p>
      <w:pPr>
        <w:pStyle w:val="Heading1"/>
      </w:pPr>
      <w:r>
        <w:rPr>
          <w:lang w:val="pl-PL"/>
        </w:rPr>
        <w:t>Zakończenie i dokumentowanie</w:t>
      </w:r>
    </w:p>
    <w:p>
      <w:r>
        <w:rPr>
          <w:lang w:val="pl-PL"/>
        </w:rPr>
        <w:t>Wykonuj polecenia właściwych służb. Ucichnięcie alarmu lub ustanie widocznych objawów nie stanowi zgody na powrót. Osoba wyznaczona przez UJD przekazuje dalsze zasady użytkowania zgodnie z decyzjami służb i właściwych organów. Sporządź zgłoszenie i notatkę Z01; odnotuj czas, źródło decyzji, meldunki, ograniczenia oraz działania do wykonania.</w:t>
      </w:r>
    </w:p>
    <w:p>
      <w:r>
        <w:rPr>
          <w:lang w:val="pl-PL"/>
        </w:rPr>
        <w:t>Powiązania: P03 procedura ogólna; I05 obsługa; I10 pakunek; I13 pożar przy zagrożeniach jednoczesnych; Z01 formularz; Z02 karta operacyjna budynku; Z03 komunikaty; Z04 matryca; Z06 karta przeglądu.</w:t>
      </w:r>
    </w:p>
    <w:sectPr w:rsidR="00FC693F" w:rsidRPr="0006063C" w:rsidSect="00034616">
      <w:footerReference w:type="default" r:id="rId9"/>
      <w:pgSz w:w="11906" w:h="16838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  <w:lang w:val="pl-PL"/>
      </w:rPr>
      <w:t xml:space="preserve">Pakiet UJD •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pl-P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0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pl-P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UJD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